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014A0" w14:textId="77777777" w:rsidR="00F85DDC" w:rsidRDefault="008D652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3FBDE" wp14:editId="1953DDBE">
                <wp:simplePos x="0" y="0"/>
                <wp:positionH relativeFrom="column">
                  <wp:posOffset>-518795</wp:posOffset>
                </wp:positionH>
                <wp:positionV relativeFrom="paragraph">
                  <wp:posOffset>570230</wp:posOffset>
                </wp:positionV>
                <wp:extent cx="6515735" cy="755904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735" cy="755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4C4FB" w14:textId="77777777" w:rsidR="005A0AFD" w:rsidRPr="00532A7F" w:rsidRDefault="00860FEE">
                            <w:pPr>
                              <w:rPr>
                                <w:rFonts w:ascii="Calibri" w:hAnsi="Calibri"/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</w:pPr>
                            <w:r w:rsidRPr="00532A7F">
                              <w:rPr>
                                <w:rFonts w:ascii="Calibri" w:hAnsi="Calibri"/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  <w:t>ESL Professional Development Partnership</w:t>
                            </w:r>
                          </w:p>
                          <w:p w14:paraId="390586C2" w14:textId="77777777" w:rsidR="005A0AFD" w:rsidRDefault="005A0AFD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691" w:type="dxa"/>
                              <w:jc w:val="center"/>
                              <w:tblCellMar>
                                <w:top w:w="72" w:type="dxa"/>
                                <w:left w:w="72" w:type="dxa"/>
                                <w:bottom w:w="72" w:type="dxa"/>
                                <w:right w:w="72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99"/>
                              <w:gridCol w:w="4692"/>
                            </w:tblGrid>
                            <w:tr w:rsidR="006123D1" w14:paraId="6290A094" w14:textId="77777777" w:rsidTr="00882F3C">
                              <w:trPr>
                                <w:jc w:val="center"/>
                              </w:trPr>
                              <w:tc>
                                <w:tcPr>
                                  <w:tcW w:w="4999" w:type="dxa"/>
                                  <w:shd w:val="clear" w:color="auto" w:fill="9D313E"/>
                                </w:tcPr>
                                <w:p w14:paraId="240F9573" w14:textId="5ADB088D" w:rsidR="00860FEE" w:rsidRPr="00882F3C" w:rsidRDefault="00F9043F" w:rsidP="008C0AEF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 w:themeColor="background1"/>
                                      <w:sz w:val="23"/>
                                      <w:szCs w:val="23"/>
                                    </w:rPr>
                                  </w:pPr>
                                  <w:r w:rsidRPr="00882F3C">
                                    <w:rPr>
                                      <w:rFonts w:ascii="Calibri" w:hAnsi="Calibri"/>
                                      <w:b/>
                                      <w:color w:val="FFFFFF" w:themeColor="background1"/>
                                      <w:sz w:val="23"/>
                                      <w:szCs w:val="23"/>
                                    </w:rPr>
                                    <w:t>Funding is</w:t>
                                  </w:r>
                                  <w:r w:rsidR="00860FEE" w:rsidRPr="00882F3C">
                                    <w:rPr>
                                      <w:rFonts w:ascii="Calibri" w:hAnsi="Calibri"/>
                                      <w:b/>
                                      <w:color w:val="FFFFFF" w:themeColor="background1"/>
                                      <w:sz w:val="23"/>
                                      <w:szCs w:val="23"/>
                                    </w:rPr>
                                    <w:t xml:space="preserve"> provided by </w:t>
                                  </w:r>
                                  <w:r w:rsidR="00882F3C" w:rsidRPr="00882F3C">
                                    <w:rPr>
                                      <w:rFonts w:ascii="Calibri" w:hAnsi="Calibri"/>
                                      <w:b/>
                                      <w:color w:val="FFFFFF" w:themeColor="background1"/>
                                      <w:sz w:val="23"/>
                                      <w:szCs w:val="23"/>
                                    </w:rPr>
                                    <w:t xml:space="preserve">several </w:t>
                                  </w:r>
                                  <w:r w:rsidR="00D67885" w:rsidRPr="00882F3C">
                                    <w:rPr>
                                      <w:rFonts w:ascii="Calibri" w:hAnsi="Calibri"/>
                                      <w:b/>
                                      <w:color w:val="FFFFFF" w:themeColor="background1"/>
                                      <w:sz w:val="23"/>
                                      <w:szCs w:val="23"/>
                                    </w:rPr>
                                    <w:t>Iowa Area Education Agencies</w:t>
                                  </w:r>
                                  <w:r w:rsidR="00860FEE" w:rsidRPr="00882F3C">
                                    <w:rPr>
                                      <w:rFonts w:ascii="Calibri" w:hAnsi="Calibri"/>
                                      <w:b/>
                                      <w:color w:val="FFFFFF" w:themeColor="background1"/>
                                      <w:sz w:val="23"/>
                                      <w:szCs w:val="23"/>
                                    </w:rPr>
                                    <w:t xml:space="preserve"> for educators to take coursework designed to improve their effectiveness in teaching and assessing English Learners. Interested teachers can complete the entire endorsement </w:t>
                                  </w:r>
                                  <w:r w:rsidR="004B6AC0" w:rsidRPr="00882F3C">
                                    <w:rPr>
                                      <w:rFonts w:ascii="Calibri" w:hAnsi="Calibri"/>
                                      <w:b/>
                                      <w:color w:val="FFFFFF" w:themeColor="background1"/>
                                      <w:sz w:val="23"/>
                                      <w:szCs w:val="23"/>
                                    </w:rPr>
                                    <w:t>if they wish, though they are not required to</w:t>
                                  </w:r>
                                  <w:r w:rsidRPr="00882F3C">
                                    <w:rPr>
                                      <w:rFonts w:ascii="Calibri" w:hAnsi="Calibri"/>
                                      <w:b/>
                                      <w:color w:val="FFFFFF" w:themeColor="background1"/>
                                      <w:sz w:val="23"/>
                                      <w:szCs w:val="23"/>
                                    </w:rPr>
                                    <w:t xml:space="preserve"> (courses listed below, </w:t>
                                  </w:r>
                                  <w:r w:rsidR="00860FEE" w:rsidRPr="00882F3C">
                                    <w:rPr>
                                      <w:rFonts w:ascii="Calibri" w:hAnsi="Calibri"/>
                                      <w:b/>
                                      <w:color w:val="FFFFFF" w:themeColor="background1"/>
                                      <w:sz w:val="23"/>
                                      <w:szCs w:val="23"/>
                                    </w:rPr>
                                    <w:t>currently costing $1</w:t>
                                  </w:r>
                                  <w:r w:rsidR="0074281E" w:rsidRPr="00882F3C">
                                    <w:rPr>
                                      <w:rFonts w:ascii="Calibri" w:hAnsi="Calibri"/>
                                      <w:b/>
                                      <w:color w:val="FFFFFF" w:themeColor="background1"/>
                                      <w:sz w:val="23"/>
                                      <w:szCs w:val="23"/>
                                    </w:rPr>
                                    <w:t>500</w:t>
                                  </w:r>
                                  <w:r w:rsidR="00860FEE" w:rsidRPr="00882F3C">
                                    <w:rPr>
                                      <w:rFonts w:ascii="Calibri" w:hAnsi="Calibri"/>
                                      <w:b/>
                                      <w:color w:val="FFFFFF" w:themeColor="background1"/>
                                      <w:sz w:val="23"/>
                                      <w:szCs w:val="23"/>
                                    </w:rPr>
                                    <w:t xml:space="preserve"> + $</w:t>
                                  </w:r>
                                  <w:r w:rsidR="00A86668" w:rsidRPr="00882F3C">
                                    <w:rPr>
                                      <w:rFonts w:ascii="Calibri" w:hAnsi="Calibri"/>
                                      <w:b/>
                                      <w:color w:val="FFFFFF" w:themeColor="background1"/>
                                      <w:sz w:val="23"/>
                                      <w:szCs w:val="23"/>
                                    </w:rPr>
                                    <w:t>8</w:t>
                                  </w:r>
                                  <w:r w:rsidR="00860FEE" w:rsidRPr="00882F3C">
                                    <w:rPr>
                                      <w:rFonts w:ascii="Calibri" w:hAnsi="Calibri"/>
                                      <w:b/>
                                      <w:color w:val="FFFFFF" w:themeColor="background1"/>
                                      <w:sz w:val="23"/>
                                      <w:szCs w:val="23"/>
                                    </w:rPr>
                                    <w:t xml:space="preserve">0 tech fee </w:t>
                                  </w:r>
                                  <w:r w:rsidRPr="00882F3C">
                                    <w:rPr>
                                      <w:rFonts w:ascii="Calibri" w:hAnsi="Calibri"/>
                                      <w:b/>
                                      <w:color w:val="FFFFFF" w:themeColor="background1"/>
                                      <w:sz w:val="23"/>
                                      <w:szCs w:val="23"/>
                                    </w:rPr>
                                    <w:t>each</w:t>
                                  </w:r>
                                  <w:r w:rsidR="00860FEE" w:rsidRPr="00882F3C">
                                    <w:rPr>
                                      <w:rFonts w:ascii="Calibri" w:hAnsi="Calibri"/>
                                      <w:b/>
                                      <w:color w:val="FFFFFF" w:themeColor="background1"/>
                                      <w:sz w:val="23"/>
                                      <w:szCs w:val="23"/>
                                    </w:rPr>
                                    <w:t xml:space="preserve">). </w:t>
                                  </w:r>
                                </w:p>
                              </w:tc>
                              <w:tc>
                                <w:tcPr>
                                  <w:tcW w:w="4692" w:type="dxa"/>
                                </w:tcPr>
                                <w:p w14:paraId="45C0F4AF" w14:textId="21B28038" w:rsidR="00D67885" w:rsidRDefault="00D67885" w:rsidP="00D67885"/>
                                <w:p w14:paraId="46284AA1" w14:textId="4BFCF64D" w:rsidR="00D67885" w:rsidRDefault="00D67885" w:rsidP="00D67885">
                                  <w:pPr>
                                    <w:jc w:val="center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INCLUDEPICTURE "https://scontent.fden3-1.fna.fbcdn.net/v/t1.18169-9/23519296_1723505164339911_6569201793638434477_n.png?_nc_cat=110&amp;ccb=1-5&amp;_nc_sid=09cbfe&amp;_nc_ohc=kmNOWJcuA_oAX-IPp_L&amp;_nc_ht=scontent.fden3-1.fna&amp;oh=3e240b97816d5055bc02226daabfdd8e&amp;oe=61C9A182" \* MERGEFORMATINET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DA9F92" wp14:editId="5159D0EC">
                                        <wp:extent cx="1021191" cy="1021191"/>
                                        <wp:effectExtent l="0" t="0" r="0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2492" cy="10324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fldChar w:fldCharType="end"/>
                                  </w:r>
                                </w:p>
                                <w:p w14:paraId="04E50F82" w14:textId="5F53F067" w:rsidR="00D67885" w:rsidRPr="00D67885" w:rsidRDefault="00D67885" w:rsidP="00D67885"/>
                              </w:tc>
                            </w:tr>
                            <w:tr w:rsidR="00D91A0B" w:rsidRPr="00D91A0B" w14:paraId="33F132D8" w14:textId="77777777" w:rsidTr="00882F3C">
                              <w:trPr>
                                <w:jc w:val="center"/>
                              </w:trPr>
                              <w:tc>
                                <w:tcPr>
                                  <w:tcW w:w="9691" w:type="dxa"/>
                                  <w:gridSpan w:val="2"/>
                                  <w:shd w:val="clear" w:color="auto" w:fill="EBB517"/>
                                </w:tcPr>
                                <w:p w14:paraId="616D2A00" w14:textId="5A11E51E" w:rsidR="008B25C4" w:rsidRPr="00CB0CD1" w:rsidRDefault="00424A85" w:rsidP="00424A85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noProof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noProof/>
                                      <w:color w:val="FFFFFF" w:themeColor="background1"/>
                                    </w:rPr>
                                    <w:t xml:space="preserve">Tuition </w:t>
                                  </w:r>
                                  <w:r w:rsidR="00F9043F">
                                    <w:rPr>
                                      <w:rFonts w:ascii="Calibri" w:hAnsi="Calibri"/>
                                      <w:b/>
                                      <w:noProof/>
                                      <w:color w:val="FFFFFF" w:themeColor="background1"/>
                                    </w:rPr>
                                    <w:t>funding</w:t>
                                  </w:r>
                                  <w:r w:rsidR="008B25C4" w:rsidRPr="00CB0CD1">
                                    <w:rPr>
                                      <w:rFonts w:ascii="Calibri" w:hAnsi="Calibri"/>
                                      <w:b/>
                                      <w:noProof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noProof/>
                                      <w:color w:val="FFFFFF" w:themeColor="background1"/>
                                    </w:rPr>
                                    <w:t xml:space="preserve">for four courses </w:t>
                                  </w:r>
                                  <w:r w:rsidR="00F9043F">
                                    <w:rPr>
                                      <w:rFonts w:ascii="Calibri" w:hAnsi="Calibri"/>
                                      <w:b/>
                                      <w:noProof/>
                                      <w:color w:val="FFFFFF" w:themeColor="background1"/>
                                    </w:rPr>
                                    <w:t>is</w:t>
                                  </w:r>
                                  <w:r w:rsidR="008B25C4" w:rsidRPr="00CB0CD1">
                                    <w:rPr>
                                      <w:rFonts w:ascii="Calibri" w:hAnsi="Calibri"/>
                                      <w:b/>
                                      <w:noProof/>
                                      <w:color w:val="FFFFFF" w:themeColor="background1"/>
                                    </w:rPr>
                                    <w:t xml:space="preserve"> available to </w:t>
                                  </w:r>
                                  <w:r w:rsidR="00882F3C">
                                    <w:rPr>
                                      <w:rFonts w:ascii="Calibri" w:hAnsi="Calibri"/>
                                      <w:b/>
                                      <w:noProof/>
                                      <w:color w:val="FFFFFF" w:themeColor="background1"/>
                                    </w:rPr>
                                    <w:t>educators</w:t>
                                  </w:r>
                                  <w:r w:rsidR="008B25C4" w:rsidRPr="00CB0CD1">
                                    <w:rPr>
                                      <w:rFonts w:ascii="Calibri" w:hAnsi="Calibri"/>
                                      <w:b/>
                                      <w:noProof/>
                                      <w:color w:val="FFFFFF" w:themeColor="background1"/>
                                    </w:rPr>
                                    <w:t xml:space="preserve"> served by </w:t>
                                  </w:r>
                                  <w:r w:rsidR="00882F3C">
                                    <w:rPr>
                                      <w:rFonts w:ascii="Calibri" w:hAnsi="Calibri"/>
                                      <w:b/>
                                      <w:noProof/>
                                      <w:color w:val="FFFFFF" w:themeColor="background1"/>
                                    </w:rPr>
                                    <w:t xml:space="preserve">their </w:t>
                                  </w:r>
                                  <w:r w:rsidR="006123D1">
                                    <w:rPr>
                                      <w:rFonts w:ascii="Calibri" w:hAnsi="Calibri"/>
                                      <w:b/>
                                      <w:noProof/>
                                      <w:color w:val="FFFFFF" w:themeColor="background1"/>
                                    </w:rPr>
                                    <w:t xml:space="preserve">AEA’s Title III funding stream. These funds can be spent across two years.  </w:t>
                                  </w:r>
                                  <w:r w:rsidR="008B25C4" w:rsidRPr="00CB0CD1">
                                    <w:rPr>
                                      <w:rFonts w:ascii="Calibri" w:hAnsi="Calibri"/>
                                      <w:b/>
                                      <w:noProof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7385113" w14:textId="77777777" w:rsidR="00C959EA" w:rsidRDefault="00C959EA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690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72" w:type="dxa"/>
                                <w:left w:w="72" w:type="dxa"/>
                                <w:bottom w:w="72" w:type="dxa"/>
                                <w:right w:w="72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595"/>
                              <w:gridCol w:w="2014"/>
                              <w:gridCol w:w="81"/>
                            </w:tblGrid>
                            <w:tr w:rsidR="00A86668" w:rsidRPr="007611CD" w14:paraId="0BA1D083" w14:textId="77777777" w:rsidTr="00E416FE">
                              <w:trPr>
                                <w:jc w:val="center"/>
                              </w:trPr>
                              <w:tc>
                                <w:tcPr>
                                  <w:tcW w:w="9690" w:type="dxa"/>
                                  <w:gridSpan w:val="3"/>
                                  <w:tcBorders>
                                    <w:top w:val="single" w:sz="24" w:space="0" w:color="365F91" w:themeColor="accent1" w:themeShade="BF"/>
                                    <w:left w:val="single" w:sz="24" w:space="0" w:color="365F91" w:themeColor="accent1" w:themeShade="BF"/>
                                    <w:bottom w:val="single" w:sz="4" w:space="0" w:color="auto"/>
                                    <w:right w:val="single" w:sz="24" w:space="0" w:color="365F91" w:themeColor="accent1" w:themeShade="BF"/>
                                  </w:tcBorders>
                                  <w:shd w:val="clear" w:color="auto" w:fill="365F91" w:themeFill="accent1" w:themeFillShade="BF"/>
                                </w:tcPr>
                                <w:p w14:paraId="325BED0D" w14:textId="7F41EADA" w:rsidR="00A86668" w:rsidRPr="00CB0CD1" w:rsidRDefault="00A86668" w:rsidP="00F9043F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Courses </w:t>
                                  </w:r>
                                  <w:r w:rsidR="00D67885">
                                    <w:rPr>
                                      <w:rFonts w:ascii="Calibri" w:hAnsi="Calibri"/>
                                      <w:b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include online work along with synchronous class sessions (via Zoom).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32A7F" w:rsidRPr="007611CD" w14:paraId="7965F7D2" w14:textId="77777777" w:rsidTr="00455051">
                              <w:trPr>
                                <w:gridAfter w:val="1"/>
                                <w:wAfter w:w="81" w:type="dxa"/>
                                <w:trHeight w:val="629"/>
                                <w:jc w:val="center"/>
                              </w:trPr>
                              <w:tc>
                                <w:tcPr>
                                  <w:tcW w:w="75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1A881DA7" w14:textId="57E12FD2" w:rsidR="00532A7F" w:rsidRPr="00F9043F" w:rsidRDefault="00532A7F" w:rsidP="00F9043F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i/>
                                      <w:noProof/>
                                      <w:color w:val="365F91" w:themeColor="accent1" w:themeShade="BF"/>
                                      <w:szCs w:val="16"/>
                                    </w:rPr>
                                  </w:pPr>
                                  <w:r w:rsidRPr="00F9043F">
                                    <w:rPr>
                                      <w:rFonts w:ascii="Calibri" w:hAnsi="Calibri"/>
                                      <w:b/>
                                      <w:i/>
                                      <w:noProof/>
                                      <w:color w:val="365F91" w:themeColor="accent1" w:themeShade="BF"/>
                                      <w:szCs w:val="16"/>
                                    </w:rPr>
                                    <w:t>Course Title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067CB630" w14:textId="687673E0" w:rsidR="00532A7F" w:rsidRPr="00F9043F" w:rsidRDefault="00532A7F" w:rsidP="00D67885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i/>
                                      <w:noProof/>
                                      <w:color w:val="365F91" w:themeColor="accent1" w:themeShade="BF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i/>
                                      <w:noProof/>
                                      <w:color w:val="365F91" w:themeColor="accent1" w:themeShade="BF"/>
                                      <w:szCs w:val="16"/>
                                    </w:rPr>
                                    <w:t>Summer 2022 Start</w:t>
                                  </w:r>
                                </w:p>
                              </w:tc>
                            </w:tr>
                            <w:tr w:rsidR="00532A7F" w:rsidRPr="007611CD" w14:paraId="47EBD0B0" w14:textId="77777777" w:rsidTr="00A766FD">
                              <w:trPr>
                                <w:gridAfter w:val="1"/>
                                <w:wAfter w:w="81" w:type="dxa"/>
                                <w:trHeight w:val="463"/>
                                <w:jc w:val="center"/>
                              </w:trPr>
                              <w:tc>
                                <w:tcPr>
                                  <w:tcW w:w="75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AEC6077" w14:textId="4272080B" w:rsidR="00532A7F" w:rsidRPr="00A86668" w:rsidRDefault="00532A7F" w:rsidP="00F9043F">
                                  <w:pPr>
                                    <w:jc w:val="center"/>
                                    <w:rPr>
                                      <w:rFonts w:ascii="Calibri" w:hAnsi="Calibri"/>
                                      <w:i/>
                                      <w:noProof/>
                                      <w:color w:val="365F91" w:themeColor="accent1" w:themeShade="BF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noProof/>
                                      <w:color w:val="365F91" w:themeColor="accent1" w:themeShade="BF"/>
                                      <w:szCs w:val="16"/>
                                    </w:rPr>
                                    <w:t>TESL 201: Introduction to Teaching English Learners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7DD82B3" w14:textId="57A5A31D" w:rsidR="00532A7F" w:rsidRPr="00F9043F" w:rsidRDefault="00532A7F" w:rsidP="00882F3C">
                                  <w:pPr>
                                    <w:jc w:val="center"/>
                                    <w:rPr>
                                      <w:rFonts w:ascii="Calibri" w:hAnsi="Calibri"/>
                                      <w:noProof/>
                                      <w:color w:val="365F91" w:themeColor="accent1" w:themeShade="BF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noProof/>
                                      <w:color w:val="365F91" w:themeColor="accent1" w:themeShade="BF"/>
                                      <w:szCs w:val="16"/>
                                    </w:rPr>
                                    <w:t>Summer 2022</w:t>
                                  </w:r>
                                </w:p>
                              </w:tc>
                            </w:tr>
                            <w:tr w:rsidR="00532A7F" w:rsidRPr="007611CD" w14:paraId="42F25C4C" w14:textId="77777777" w:rsidTr="007F1A69">
                              <w:trPr>
                                <w:gridAfter w:val="1"/>
                                <w:wAfter w:w="81" w:type="dxa"/>
                                <w:trHeight w:val="463"/>
                                <w:jc w:val="center"/>
                              </w:trPr>
                              <w:tc>
                                <w:tcPr>
                                  <w:tcW w:w="75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6EFF437" w14:textId="7FC487D6" w:rsidR="00532A7F" w:rsidRPr="00A86668" w:rsidRDefault="00532A7F" w:rsidP="00F9043F">
                                  <w:pPr>
                                    <w:jc w:val="center"/>
                                    <w:rPr>
                                      <w:rFonts w:ascii="Calibri" w:hAnsi="Calibri"/>
                                      <w:i/>
                                      <w:noProof/>
                                      <w:color w:val="365F91" w:themeColor="accent1" w:themeShade="BF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noProof/>
                                      <w:color w:val="365F91" w:themeColor="accent1" w:themeShade="BF"/>
                                      <w:szCs w:val="16"/>
                                    </w:rPr>
                                    <w:t>TESL 202: Intercultural Communication for Teachers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29616B8" w14:textId="004C6C86" w:rsidR="00532A7F" w:rsidRPr="00F9043F" w:rsidRDefault="00532A7F" w:rsidP="00882F3C">
                                  <w:pPr>
                                    <w:jc w:val="center"/>
                                    <w:rPr>
                                      <w:rFonts w:ascii="Calibri" w:hAnsi="Calibri"/>
                                      <w:noProof/>
                                      <w:color w:val="365F91" w:themeColor="accent1" w:themeShade="BF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noProof/>
                                      <w:color w:val="365F91" w:themeColor="accent1" w:themeShade="BF"/>
                                      <w:szCs w:val="16"/>
                                    </w:rPr>
                                    <w:t>Fall 2022</w:t>
                                  </w:r>
                                </w:p>
                              </w:tc>
                            </w:tr>
                            <w:tr w:rsidR="00532A7F" w:rsidRPr="007611CD" w14:paraId="03610EFC" w14:textId="77777777" w:rsidTr="00367271">
                              <w:trPr>
                                <w:gridAfter w:val="1"/>
                                <w:wAfter w:w="81" w:type="dxa"/>
                                <w:trHeight w:val="463"/>
                                <w:jc w:val="center"/>
                              </w:trPr>
                              <w:tc>
                                <w:tcPr>
                                  <w:tcW w:w="75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737B076" w14:textId="09F81EC7" w:rsidR="00532A7F" w:rsidRPr="00A86668" w:rsidRDefault="00532A7F" w:rsidP="00F9043F">
                                  <w:pPr>
                                    <w:jc w:val="center"/>
                                    <w:rPr>
                                      <w:rFonts w:ascii="Calibri" w:hAnsi="Calibri"/>
                                      <w:i/>
                                      <w:noProof/>
                                      <w:color w:val="365F91" w:themeColor="accent1" w:themeShade="BF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noProof/>
                                      <w:color w:val="365F91" w:themeColor="accent1" w:themeShade="BF"/>
                                      <w:szCs w:val="16"/>
                                    </w:rPr>
                                    <w:t>TESL 203: Issues and Assessment of English Language Learning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DE849B8" w14:textId="7992AE08" w:rsidR="00532A7F" w:rsidRPr="00F9043F" w:rsidRDefault="00532A7F" w:rsidP="00882F3C">
                                  <w:pPr>
                                    <w:jc w:val="center"/>
                                    <w:rPr>
                                      <w:rFonts w:ascii="Calibri" w:hAnsi="Calibri"/>
                                      <w:noProof/>
                                      <w:color w:val="365F91" w:themeColor="accent1" w:themeShade="BF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noProof/>
                                      <w:color w:val="365F91" w:themeColor="accent1" w:themeShade="BF"/>
                                      <w:szCs w:val="16"/>
                                    </w:rPr>
                                    <w:t>Summer 2023</w:t>
                                  </w:r>
                                </w:p>
                              </w:tc>
                            </w:tr>
                            <w:tr w:rsidR="00532A7F" w:rsidRPr="007611CD" w14:paraId="04FC172D" w14:textId="77777777" w:rsidTr="00140008">
                              <w:trPr>
                                <w:gridAfter w:val="1"/>
                                <w:wAfter w:w="81" w:type="dxa"/>
                                <w:trHeight w:val="463"/>
                                <w:jc w:val="center"/>
                              </w:trPr>
                              <w:tc>
                                <w:tcPr>
                                  <w:tcW w:w="75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2D26C32" w14:textId="64B7DFF7" w:rsidR="00532A7F" w:rsidRDefault="00532A7F" w:rsidP="00F9043F">
                                  <w:pPr>
                                    <w:jc w:val="center"/>
                                    <w:rPr>
                                      <w:rFonts w:ascii="Calibri" w:hAnsi="Calibri"/>
                                      <w:i/>
                                      <w:noProof/>
                                      <w:color w:val="365F91" w:themeColor="accent1" w:themeShade="BF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noProof/>
                                      <w:color w:val="365F91" w:themeColor="accent1" w:themeShade="BF"/>
                                      <w:szCs w:val="16"/>
                                    </w:rPr>
                                    <w:t>TESL 204: Strategies for Teaching English Learners</w:t>
                                  </w:r>
                                </w:p>
                                <w:p w14:paraId="37F3603B" w14:textId="073FB6EF" w:rsidR="00532A7F" w:rsidRPr="00532A7F" w:rsidRDefault="00532A7F" w:rsidP="00F9043F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i/>
                                      <w:iCs/>
                                      <w:noProof/>
                                      <w:color w:val="365F91" w:themeColor="accent1" w:themeShade="BF"/>
                                      <w:sz w:val="18"/>
                                      <w:szCs w:val="18"/>
                                    </w:rPr>
                                  </w:pPr>
                                  <w:r w:rsidRPr="00532A7F">
                                    <w:rPr>
                                      <w:rFonts w:ascii="Calibri" w:hAnsi="Calibri"/>
                                      <w:b/>
                                      <w:bCs/>
                                      <w:i/>
                                      <w:iCs/>
                                      <w:noProof/>
                                      <w:color w:val="365F91" w:themeColor="accent1" w:themeShade="BF"/>
                                      <w:sz w:val="18"/>
                                      <w:szCs w:val="18"/>
                                    </w:rPr>
                                    <w:t>(10-hour practicum at the level of your teaching certificate [elementary or secondary])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F589940" w14:textId="03E9A8E0" w:rsidR="00532A7F" w:rsidRPr="00F9043F" w:rsidRDefault="00532A7F" w:rsidP="00882F3C">
                                  <w:pPr>
                                    <w:jc w:val="center"/>
                                    <w:rPr>
                                      <w:rFonts w:ascii="Calibri" w:hAnsi="Calibri"/>
                                      <w:noProof/>
                                      <w:color w:val="365F91" w:themeColor="accent1" w:themeShade="BF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noProof/>
                                      <w:color w:val="365F91" w:themeColor="accent1" w:themeShade="BF"/>
                                      <w:szCs w:val="16"/>
                                    </w:rPr>
                                    <w:t>Spring 2024</w:t>
                                  </w:r>
                                </w:p>
                              </w:tc>
                            </w:tr>
                            <w:tr w:rsidR="00532A7F" w:rsidRPr="007611CD" w14:paraId="5236B6B0" w14:textId="77777777" w:rsidTr="009D3F39">
                              <w:trPr>
                                <w:gridAfter w:val="1"/>
                                <w:wAfter w:w="81" w:type="dxa"/>
                                <w:trHeight w:val="463"/>
                                <w:jc w:val="center"/>
                              </w:trPr>
                              <w:tc>
                                <w:tcPr>
                                  <w:tcW w:w="75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6EE2C2A" w14:textId="60F8C0BD" w:rsidR="00532A7F" w:rsidRPr="00A86668" w:rsidRDefault="00532A7F" w:rsidP="00F9043F">
                                  <w:pPr>
                                    <w:jc w:val="center"/>
                                    <w:rPr>
                                      <w:rFonts w:ascii="Calibri" w:hAnsi="Calibri"/>
                                      <w:i/>
                                      <w:noProof/>
                                      <w:color w:val="365F91" w:themeColor="accent1" w:themeShade="BF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noProof/>
                                      <w:color w:val="365F91" w:themeColor="accent1" w:themeShade="BF"/>
                                      <w:szCs w:val="16"/>
                                    </w:rPr>
                                    <w:t>TESL 205: Teaching Reading and Writing to English Learners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B7CEA57" w14:textId="130E7E96" w:rsidR="00532A7F" w:rsidRPr="00F9043F" w:rsidRDefault="00532A7F" w:rsidP="00882F3C">
                                  <w:pPr>
                                    <w:jc w:val="center"/>
                                    <w:rPr>
                                      <w:rFonts w:ascii="Calibri" w:hAnsi="Calibri"/>
                                      <w:noProof/>
                                      <w:color w:val="365F91" w:themeColor="accent1" w:themeShade="BF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noProof/>
                                      <w:color w:val="365F91" w:themeColor="accent1" w:themeShade="BF"/>
                                      <w:szCs w:val="16"/>
                                    </w:rPr>
                                    <w:t>Fall 2024</w:t>
                                  </w:r>
                                </w:p>
                              </w:tc>
                            </w:tr>
                            <w:tr w:rsidR="00532A7F" w:rsidRPr="007611CD" w14:paraId="36E701ED" w14:textId="77777777" w:rsidTr="00780B23">
                              <w:trPr>
                                <w:gridAfter w:val="1"/>
                                <w:wAfter w:w="81" w:type="dxa"/>
                                <w:trHeight w:val="463"/>
                                <w:jc w:val="center"/>
                              </w:trPr>
                              <w:tc>
                                <w:tcPr>
                                  <w:tcW w:w="75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84C0060" w14:textId="11183503" w:rsidR="00532A7F" w:rsidRDefault="00532A7F" w:rsidP="00F9043F">
                                  <w:pPr>
                                    <w:jc w:val="center"/>
                                    <w:rPr>
                                      <w:rFonts w:ascii="Calibri" w:hAnsi="Calibri"/>
                                      <w:i/>
                                      <w:noProof/>
                                      <w:color w:val="365F91" w:themeColor="accent1" w:themeShade="BF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noProof/>
                                      <w:color w:val="365F91" w:themeColor="accent1" w:themeShade="BF"/>
                                      <w:szCs w:val="16"/>
                                    </w:rPr>
                                    <w:t>TESL 206: Methods of Linguistic Differentiation for English Learners</w:t>
                                  </w:r>
                                </w:p>
                                <w:p w14:paraId="24A1AB24" w14:textId="65E445EC" w:rsidR="00532A7F" w:rsidRPr="00532A7F" w:rsidRDefault="00532A7F" w:rsidP="00F9043F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i/>
                                      <w:iCs/>
                                      <w:noProof/>
                                      <w:color w:val="365F91" w:themeColor="accent1" w:themeShade="BF"/>
                                      <w:szCs w:val="16"/>
                                    </w:rPr>
                                  </w:pPr>
                                  <w:r w:rsidRPr="00532A7F">
                                    <w:rPr>
                                      <w:rFonts w:ascii="Calibri" w:hAnsi="Calibri"/>
                                      <w:b/>
                                      <w:bCs/>
                                      <w:i/>
                                      <w:iCs/>
                                      <w:noProof/>
                                      <w:color w:val="365F91" w:themeColor="accent1" w:themeShade="BF"/>
                                      <w:sz w:val="18"/>
                                      <w:szCs w:val="10"/>
                                    </w:rPr>
                                    <w:t>(10-hour practicum at the level opposite your teaching certificate [elementary or secondary])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4A98884" w14:textId="5DDA0290" w:rsidR="00532A7F" w:rsidRPr="00F9043F" w:rsidRDefault="00532A7F" w:rsidP="00882F3C">
                                  <w:pPr>
                                    <w:jc w:val="center"/>
                                    <w:rPr>
                                      <w:rFonts w:ascii="Calibri" w:hAnsi="Calibri"/>
                                      <w:noProof/>
                                      <w:color w:val="365F91" w:themeColor="accent1" w:themeShade="BF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noProof/>
                                      <w:color w:val="365F91" w:themeColor="accent1" w:themeShade="BF"/>
                                      <w:szCs w:val="16"/>
                                    </w:rPr>
                                    <w:t>Spring 2024</w:t>
                                  </w:r>
                                </w:p>
                              </w:tc>
                            </w:tr>
                            <w:tr w:rsidR="00341F6E" w:rsidRPr="00A04052" w14:paraId="0E09ADBF" w14:textId="77777777" w:rsidTr="00E416FE">
                              <w:trPr>
                                <w:trHeight w:val="192"/>
                                <w:jc w:val="center"/>
                              </w:trPr>
                              <w:tc>
                                <w:tcPr>
                                  <w:tcW w:w="969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741AFFF" w14:textId="77777777" w:rsidR="00341F6E" w:rsidRPr="00CB0CD1" w:rsidRDefault="00341F6E" w:rsidP="00532A7F">
                                  <w:pPr>
                                    <w:rPr>
                                      <w:rFonts w:ascii="Calibri" w:hAnsi="Calibri"/>
                                      <w:b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41F6E" w:rsidRPr="00A04052" w14:paraId="56CBA4AF" w14:textId="77777777" w:rsidTr="00882F3C">
                              <w:trPr>
                                <w:jc w:val="center"/>
                              </w:trPr>
                              <w:tc>
                                <w:tcPr>
                                  <w:tcW w:w="9690" w:type="dxa"/>
                                  <w:gridSpan w:val="3"/>
                                  <w:shd w:val="clear" w:color="auto" w:fill="EBB517"/>
                                </w:tcPr>
                                <w:p w14:paraId="5FA0DEA4" w14:textId="77777777" w:rsidR="00E416FE" w:rsidRDefault="00341F6E" w:rsidP="0055249F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noProof/>
                                      <w:color w:val="FFFFFF" w:themeColor="background1"/>
                                      <w:sz w:val="28"/>
                                      <w:szCs w:val="32"/>
                                    </w:rPr>
                                  </w:pPr>
                                  <w:r w:rsidRPr="00E416FE">
                                    <w:rPr>
                                      <w:rFonts w:ascii="Calibri" w:hAnsi="Calibri"/>
                                      <w:b/>
                                      <w:noProof/>
                                      <w:color w:val="FFFFFF" w:themeColor="background1"/>
                                      <w:sz w:val="28"/>
                                      <w:szCs w:val="32"/>
                                    </w:rPr>
                                    <w:t xml:space="preserve">For more information, contact Dr. Shelley Fairbairn </w:t>
                                  </w:r>
                                </w:p>
                                <w:p w14:paraId="245B1F47" w14:textId="398A23D4" w:rsidR="00341F6E" w:rsidRPr="00E416FE" w:rsidRDefault="00341F6E" w:rsidP="0055249F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noProof/>
                                      <w:color w:val="FFFFFF" w:themeColor="background1"/>
                                      <w:sz w:val="28"/>
                                      <w:szCs w:val="32"/>
                                    </w:rPr>
                                  </w:pPr>
                                  <w:r w:rsidRPr="00E416FE">
                                    <w:rPr>
                                      <w:rFonts w:ascii="Calibri" w:hAnsi="Calibri"/>
                                      <w:b/>
                                      <w:noProof/>
                                      <w:color w:val="FFFFFF" w:themeColor="background1"/>
                                      <w:sz w:val="28"/>
                                      <w:szCs w:val="32"/>
                                    </w:rPr>
                                    <w:t>shelley.fairbairn@drake.edu</w:t>
                                  </w:r>
                                </w:p>
                              </w:tc>
                            </w:tr>
                          </w:tbl>
                          <w:p w14:paraId="5D79A8C3" w14:textId="30EFC784" w:rsidR="00341F6E" w:rsidRPr="00590AFD" w:rsidRDefault="00341F6E" w:rsidP="00590AFD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3FB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0.85pt;margin-top:44.9pt;width:513.05pt;height:59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" filled="f" stroked="f">
                <v:textbox>
                  <w:txbxContent>
                    <w:p w14:paraId="1304C4FB" w14:textId="77777777" w:rsidR="005A0AFD" w:rsidRPr="00532A7F" w:rsidRDefault="00860FEE">
                      <w:pPr>
                        <w:rPr>
                          <w:rFonts w:ascii="Calibri" w:hAnsi="Calibri"/>
                          <w:b/>
                          <w:color w:val="365F91" w:themeColor="accent1" w:themeShade="BF"/>
                          <w:sz w:val="40"/>
                          <w:szCs w:val="40"/>
                        </w:rPr>
                      </w:pPr>
                      <w:r w:rsidRPr="00532A7F">
                        <w:rPr>
                          <w:rFonts w:ascii="Calibri" w:hAnsi="Calibri"/>
                          <w:b/>
                          <w:color w:val="365F91" w:themeColor="accent1" w:themeShade="BF"/>
                          <w:sz w:val="40"/>
                          <w:szCs w:val="40"/>
                        </w:rPr>
                        <w:t>ESL Professional Development Partnership</w:t>
                      </w:r>
                    </w:p>
                    <w:p w14:paraId="390586C2" w14:textId="77777777" w:rsidR="005A0AFD" w:rsidRDefault="005A0AFD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Grid"/>
                        <w:tblW w:w="9691" w:type="dxa"/>
                        <w:jc w:val="center"/>
                        <w:tblCellMar>
                          <w:top w:w="72" w:type="dxa"/>
                          <w:left w:w="72" w:type="dxa"/>
                          <w:bottom w:w="72" w:type="dxa"/>
                          <w:right w:w="72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99"/>
                        <w:gridCol w:w="4692"/>
                      </w:tblGrid>
                      <w:tr w:rsidR="006123D1" w14:paraId="6290A094" w14:textId="77777777" w:rsidTr="00882F3C">
                        <w:trPr>
                          <w:jc w:val="center"/>
                        </w:trPr>
                        <w:tc>
                          <w:tcPr>
                            <w:tcW w:w="4999" w:type="dxa"/>
                            <w:shd w:val="clear" w:color="auto" w:fill="9D313E"/>
                          </w:tcPr>
                          <w:p w14:paraId="240F9573" w14:textId="5ADB088D" w:rsidR="00860FEE" w:rsidRPr="00882F3C" w:rsidRDefault="00F9043F" w:rsidP="008C0AE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882F3C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>Funding is</w:t>
                            </w:r>
                            <w:r w:rsidR="00860FEE" w:rsidRPr="00882F3C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provided by </w:t>
                            </w:r>
                            <w:r w:rsidR="00882F3C" w:rsidRPr="00882F3C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several </w:t>
                            </w:r>
                            <w:r w:rsidR="00D67885" w:rsidRPr="00882F3C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>Iowa Area Education Agencies</w:t>
                            </w:r>
                            <w:r w:rsidR="00860FEE" w:rsidRPr="00882F3C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for educators to take coursework designed to improve their effectiveness in teaching and assessing English Learners. Interested teachers can complete the entire endorsement </w:t>
                            </w:r>
                            <w:r w:rsidR="004B6AC0" w:rsidRPr="00882F3C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>if they wish, though they are not required to</w:t>
                            </w:r>
                            <w:r w:rsidRPr="00882F3C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(courses listed below, </w:t>
                            </w:r>
                            <w:r w:rsidR="00860FEE" w:rsidRPr="00882F3C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>currently costing $1</w:t>
                            </w:r>
                            <w:r w:rsidR="0074281E" w:rsidRPr="00882F3C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>500</w:t>
                            </w:r>
                            <w:r w:rsidR="00860FEE" w:rsidRPr="00882F3C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+ $</w:t>
                            </w:r>
                            <w:r w:rsidR="00A86668" w:rsidRPr="00882F3C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>8</w:t>
                            </w:r>
                            <w:r w:rsidR="00860FEE" w:rsidRPr="00882F3C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0 tech fee </w:t>
                            </w:r>
                            <w:r w:rsidRPr="00882F3C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>each</w:t>
                            </w:r>
                            <w:r w:rsidR="00860FEE" w:rsidRPr="00882F3C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). </w:t>
                            </w:r>
                          </w:p>
                        </w:tc>
                        <w:tc>
                          <w:tcPr>
                            <w:tcW w:w="4692" w:type="dxa"/>
                          </w:tcPr>
                          <w:p w14:paraId="45C0F4AF" w14:textId="21B28038" w:rsidR="00D67885" w:rsidRDefault="00D67885" w:rsidP="00D67885"/>
                          <w:p w14:paraId="46284AA1" w14:textId="4BFCF64D" w:rsidR="00D67885" w:rsidRDefault="00D67885" w:rsidP="00D67885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"https://scontent.fden3-1.fna.fbcdn.net/v/t1.18169-9/23519296_1723505164339911_6569201793638434477_n.png?_nc_cat=110&amp;ccb=1-5&amp;_nc_sid=09cbfe&amp;_nc_ohc=kmNOWJcuA_oAX-IPp_L&amp;_nc_ht=scontent.fden3-1.fna&amp;oh=3e240b97816d5055bc02226daabfdd8e&amp;oe=61C9A182"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DA9F92" wp14:editId="5159D0EC">
                                  <wp:extent cx="1021191" cy="1021191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2492" cy="10324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  <w:p w14:paraId="04E50F82" w14:textId="5F53F067" w:rsidR="00D67885" w:rsidRPr="00D67885" w:rsidRDefault="00D67885" w:rsidP="00D67885"/>
                        </w:tc>
                      </w:tr>
                      <w:tr w:rsidR="00D91A0B" w:rsidRPr="00D91A0B" w14:paraId="33F132D8" w14:textId="77777777" w:rsidTr="00882F3C">
                        <w:trPr>
                          <w:jc w:val="center"/>
                        </w:trPr>
                        <w:tc>
                          <w:tcPr>
                            <w:tcW w:w="9691" w:type="dxa"/>
                            <w:gridSpan w:val="2"/>
                            <w:shd w:val="clear" w:color="auto" w:fill="EBB517"/>
                          </w:tcPr>
                          <w:p w14:paraId="616D2A00" w14:textId="5A11E51E" w:rsidR="008B25C4" w:rsidRPr="00CB0CD1" w:rsidRDefault="00424A85" w:rsidP="00424A8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noProof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noProof/>
                                <w:color w:val="FFFFFF" w:themeColor="background1"/>
                              </w:rPr>
                              <w:t xml:space="preserve">Tuition </w:t>
                            </w:r>
                            <w:r w:rsidR="00F9043F">
                              <w:rPr>
                                <w:rFonts w:ascii="Calibri" w:hAnsi="Calibri"/>
                                <w:b/>
                                <w:noProof/>
                                <w:color w:val="FFFFFF" w:themeColor="background1"/>
                              </w:rPr>
                              <w:t>funding</w:t>
                            </w:r>
                            <w:r w:rsidR="008B25C4" w:rsidRPr="00CB0CD1">
                              <w:rPr>
                                <w:rFonts w:ascii="Calibri" w:hAnsi="Calibri"/>
                                <w:b/>
                                <w:noProof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noProof/>
                                <w:color w:val="FFFFFF" w:themeColor="background1"/>
                              </w:rPr>
                              <w:t xml:space="preserve">for four courses </w:t>
                            </w:r>
                            <w:r w:rsidR="00F9043F">
                              <w:rPr>
                                <w:rFonts w:ascii="Calibri" w:hAnsi="Calibri"/>
                                <w:b/>
                                <w:noProof/>
                                <w:color w:val="FFFFFF" w:themeColor="background1"/>
                              </w:rPr>
                              <w:t>is</w:t>
                            </w:r>
                            <w:r w:rsidR="008B25C4" w:rsidRPr="00CB0CD1">
                              <w:rPr>
                                <w:rFonts w:ascii="Calibri" w:hAnsi="Calibri"/>
                                <w:b/>
                                <w:noProof/>
                                <w:color w:val="FFFFFF" w:themeColor="background1"/>
                              </w:rPr>
                              <w:t xml:space="preserve"> available to </w:t>
                            </w:r>
                            <w:r w:rsidR="00882F3C">
                              <w:rPr>
                                <w:rFonts w:ascii="Calibri" w:hAnsi="Calibri"/>
                                <w:b/>
                                <w:noProof/>
                                <w:color w:val="FFFFFF" w:themeColor="background1"/>
                              </w:rPr>
                              <w:t>educators</w:t>
                            </w:r>
                            <w:r w:rsidR="008B25C4" w:rsidRPr="00CB0CD1">
                              <w:rPr>
                                <w:rFonts w:ascii="Calibri" w:hAnsi="Calibri"/>
                                <w:b/>
                                <w:noProof/>
                                <w:color w:val="FFFFFF" w:themeColor="background1"/>
                              </w:rPr>
                              <w:t xml:space="preserve"> served by </w:t>
                            </w:r>
                            <w:r w:rsidR="00882F3C">
                              <w:rPr>
                                <w:rFonts w:ascii="Calibri" w:hAnsi="Calibri"/>
                                <w:b/>
                                <w:noProof/>
                                <w:color w:val="FFFFFF" w:themeColor="background1"/>
                              </w:rPr>
                              <w:t xml:space="preserve">their </w:t>
                            </w:r>
                            <w:r w:rsidR="006123D1">
                              <w:rPr>
                                <w:rFonts w:ascii="Calibri" w:hAnsi="Calibri"/>
                                <w:b/>
                                <w:noProof/>
                                <w:color w:val="FFFFFF" w:themeColor="background1"/>
                              </w:rPr>
                              <w:t xml:space="preserve">AEA’s Title III funding stream. These funds can be spent across two years.  </w:t>
                            </w:r>
                            <w:r w:rsidR="008B25C4" w:rsidRPr="00CB0CD1">
                              <w:rPr>
                                <w:rFonts w:ascii="Calibri" w:hAnsi="Calibri"/>
                                <w:b/>
                                <w:noProof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7385113" w14:textId="77777777" w:rsidR="00C959EA" w:rsidRDefault="00C959EA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Grid"/>
                        <w:tblW w:w="9690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72" w:type="dxa"/>
                          <w:left w:w="72" w:type="dxa"/>
                          <w:bottom w:w="72" w:type="dxa"/>
                          <w:right w:w="72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595"/>
                        <w:gridCol w:w="2014"/>
                        <w:gridCol w:w="81"/>
                      </w:tblGrid>
                      <w:tr w:rsidR="00A86668" w:rsidRPr="007611CD" w14:paraId="0BA1D083" w14:textId="77777777" w:rsidTr="00E416FE">
                        <w:trPr>
                          <w:jc w:val="center"/>
                        </w:trPr>
                        <w:tc>
                          <w:tcPr>
                            <w:tcW w:w="9690" w:type="dxa"/>
                            <w:gridSpan w:val="3"/>
                            <w:tcBorders>
                              <w:top w:val="single" w:sz="24" w:space="0" w:color="365F91" w:themeColor="accent1" w:themeShade="BF"/>
                              <w:left w:val="single" w:sz="24" w:space="0" w:color="365F91" w:themeColor="accent1" w:themeShade="BF"/>
                              <w:bottom w:val="single" w:sz="4" w:space="0" w:color="auto"/>
                              <w:right w:val="single" w:sz="24" w:space="0" w:color="365F91" w:themeColor="accent1" w:themeShade="BF"/>
                            </w:tcBorders>
                            <w:shd w:val="clear" w:color="auto" w:fill="365F91" w:themeFill="accent1" w:themeFillShade="BF"/>
                          </w:tcPr>
                          <w:p w14:paraId="325BED0D" w14:textId="7F41EADA" w:rsidR="00A86668" w:rsidRPr="00CB0CD1" w:rsidRDefault="00A86668" w:rsidP="00F9043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Courses </w:t>
                            </w:r>
                            <w:r w:rsidR="00D67885">
                              <w:rPr>
                                <w:rFonts w:ascii="Calibri" w:hAnsi="Calibri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>include online work along with synchronous class sessions (via Zoom).</w:t>
                            </w:r>
                            <w:r>
                              <w:rPr>
                                <w:rFonts w:ascii="Calibri" w:hAnsi="Calibri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532A7F" w:rsidRPr="007611CD" w14:paraId="7965F7D2" w14:textId="77777777" w:rsidTr="00455051">
                        <w:trPr>
                          <w:gridAfter w:val="1"/>
                          <w:wAfter w:w="81" w:type="dxa"/>
                          <w:trHeight w:val="629"/>
                          <w:jc w:val="center"/>
                        </w:trPr>
                        <w:tc>
                          <w:tcPr>
                            <w:tcW w:w="75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1A881DA7" w14:textId="57E12FD2" w:rsidR="00532A7F" w:rsidRPr="00F9043F" w:rsidRDefault="00532A7F" w:rsidP="00F9043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noProof/>
                                <w:color w:val="365F91" w:themeColor="accent1" w:themeShade="BF"/>
                                <w:szCs w:val="16"/>
                              </w:rPr>
                            </w:pPr>
                            <w:r w:rsidRPr="00F9043F">
                              <w:rPr>
                                <w:rFonts w:ascii="Calibri" w:hAnsi="Calibri"/>
                                <w:b/>
                                <w:i/>
                                <w:noProof/>
                                <w:color w:val="365F91" w:themeColor="accent1" w:themeShade="BF"/>
                                <w:szCs w:val="16"/>
                              </w:rPr>
                              <w:t>Course Title</w:t>
                            </w:r>
                          </w:p>
                        </w:tc>
                        <w:tc>
                          <w:tcPr>
                            <w:tcW w:w="20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067CB630" w14:textId="687673E0" w:rsidR="00532A7F" w:rsidRPr="00F9043F" w:rsidRDefault="00532A7F" w:rsidP="00D6788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noProof/>
                                <w:color w:val="365F91" w:themeColor="accent1" w:themeShade="BF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noProof/>
                                <w:color w:val="365F91" w:themeColor="accent1" w:themeShade="BF"/>
                                <w:szCs w:val="16"/>
                              </w:rPr>
                              <w:t>Summer 2022 Start</w:t>
                            </w:r>
                          </w:p>
                        </w:tc>
                      </w:tr>
                      <w:tr w:rsidR="00532A7F" w:rsidRPr="007611CD" w14:paraId="47EBD0B0" w14:textId="77777777" w:rsidTr="00A766FD">
                        <w:trPr>
                          <w:gridAfter w:val="1"/>
                          <w:wAfter w:w="81" w:type="dxa"/>
                          <w:trHeight w:val="463"/>
                          <w:jc w:val="center"/>
                        </w:trPr>
                        <w:tc>
                          <w:tcPr>
                            <w:tcW w:w="75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AEC6077" w14:textId="4272080B" w:rsidR="00532A7F" w:rsidRPr="00A86668" w:rsidRDefault="00532A7F" w:rsidP="00F9043F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noProof/>
                                <w:color w:val="365F91" w:themeColor="accent1" w:themeShade="BF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noProof/>
                                <w:color w:val="365F91" w:themeColor="accent1" w:themeShade="BF"/>
                                <w:szCs w:val="16"/>
                              </w:rPr>
                              <w:t>TESL 201: Introduction to Teaching English Learners</w:t>
                            </w:r>
                          </w:p>
                        </w:tc>
                        <w:tc>
                          <w:tcPr>
                            <w:tcW w:w="20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7DD82B3" w14:textId="57A5A31D" w:rsidR="00532A7F" w:rsidRPr="00F9043F" w:rsidRDefault="00532A7F" w:rsidP="00882F3C">
                            <w:pPr>
                              <w:jc w:val="center"/>
                              <w:rPr>
                                <w:rFonts w:ascii="Calibri" w:hAnsi="Calibri"/>
                                <w:noProof/>
                                <w:color w:val="365F91" w:themeColor="accent1" w:themeShade="BF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  <w:color w:val="365F91" w:themeColor="accent1" w:themeShade="BF"/>
                                <w:szCs w:val="16"/>
                              </w:rPr>
                              <w:t>Summer 2022</w:t>
                            </w:r>
                          </w:p>
                        </w:tc>
                      </w:tr>
                      <w:tr w:rsidR="00532A7F" w:rsidRPr="007611CD" w14:paraId="42F25C4C" w14:textId="77777777" w:rsidTr="007F1A69">
                        <w:trPr>
                          <w:gridAfter w:val="1"/>
                          <w:wAfter w:w="81" w:type="dxa"/>
                          <w:trHeight w:val="463"/>
                          <w:jc w:val="center"/>
                        </w:trPr>
                        <w:tc>
                          <w:tcPr>
                            <w:tcW w:w="75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6EFF437" w14:textId="7FC487D6" w:rsidR="00532A7F" w:rsidRPr="00A86668" w:rsidRDefault="00532A7F" w:rsidP="00F9043F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noProof/>
                                <w:color w:val="365F91" w:themeColor="accent1" w:themeShade="BF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noProof/>
                                <w:color w:val="365F91" w:themeColor="accent1" w:themeShade="BF"/>
                                <w:szCs w:val="16"/>
                              </w:rPr>
                              <w:t>TESL 202: Intercultural Communication for Teachers</w:t>
                            </w:r>
                          </w:p>
                        </w:tc>
                        <w:tc>
                          <w:tcPr>
                            <w:tcW w:w="20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29616B8" w14:textId="004C6C86" w:rsidR="00532A7F" w:rsidRPr="00F9043F" w:rsidRDefault="00532A7F" w:rsidP="00882F3C">
                            <w:pPr>
                              <w:jc w:val="center"/>
                              <w:rPr>
                                <w:rFonts w:ascii="Calibri" w:hAnsi="Calibri"/>
                                <w:noProof/>
                                <w:color w:val="365F91" w:themeColor="accent1" w:themeShade="BF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  <w:color w:val="365F91" w:themeColor="accent1" w:themeShade="BF"/>
                                <w:szCs w:val="16"/>
                              </w:rPr>
                              <w:t>Fall 2022</w:t>
                            </w:r>
                          </w:p>
                        </w:tc>
                      </w:tr>
                      <w:tr w:rsidR="00532A7F" w:rsidRPr="007611CD" w14:paraId="03610EFC" w14:textId="77777777" w:rsidTr="00367271">
                        <w:trPr>
                          <w:gridAfter w:val="1"/>
                          <w:wAfter w:w="81" w:type="dxa"/>
                          <w:trHeight w:val="463"/>
                          <w:jc w:val="center"/>
                        </w:trPr>
                        <w:tc>
                          <w:tcPr>
                            <w:tcW w:w="75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737B076" w14:textId="09F81EC7" w:rsidR="00532A7F" w:rsidRPr="00A86668" w:rsidRDefault="00532A7F" w:rsidP="00F9043F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noProof/>
                                <w:color w:val="365F91" w:themeColor="accent1" w:themeShade="BF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noProof/>
                                <w:color w:val="365F91" w:themeColor="accent1" w:themeShade="BF"/>
                                <w:szCs w:val="16"/>
                              </w:rPr>
                              <w:t>TESL 203: Issues and Assessment of English Language Learning</w:t>
                            </w:r>
                          </w:p>
                        </w:tc>
                        <w:tc>
                          <w:tcPr>
                            <w:tcW w:w="20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DE849B8" w14:textId="7992AE08" w:rsidR="00532A7F" w:rsidRPr="00F9043F" w:rsidRDefault="00532A7F" w:rsidP="00882F3C">
                            <w:pPr>
                              <w:jc w:val="center"/>
                              <w:rPr>
                                <w:rFonts w:ascii="Calibri" w:hAnsi="Calibri"/>
                                <w:noProof/>
                                <w:color w:val="365F91" w:themeColor="accent1" w:themeShade="BF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  <w:color w:val="365F91" w:themeColor="accent1" w:themeShade="BF"/>
                                <w:szCs w:val="16"/>
                              </w:rPr>
                              <w:t>Summer 2023</w:t>
                            </w:r>
                          </w:p>
                        </w:tc>
                      </w:tr>
                      <w:tr w:rsidR="00532A7F" w:rsidRPr="007611CD" w14:paraId="04FC172D" w14:textId="77777777" w:rsidTr="00140008">
                        <w:trPr>
                          <w:gridAfter w:val="1"/>
                          <w:wAfter w:w="81" w:type="dxa"/>
                          <w:trHeight w:val="463"/>
                          <w:jc w:val="center"/>
                        </w:trPr>
                        <w:tc>
                          <w:tcPr>
                            <w:tcW w:w="75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2D26C32" w14:textId="64B7DFF7" w:rsidR="00532A7F" w:rsidRDefault="00532A7F" w:rsidP="00F9043F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noProof/>
                                <w:color w:val="365F91" w:themeColor="accent1" w:themeShade="BF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noProof/>
                                <w:color w:val="365F91" w:themeColor="accent1" w:themeShade="BF"/>
                                <w:szCs w:val="16"/>
                              </w:rPr>
                              <w:t>TESL 204: Strategies for Teaching English Learners</w:t>
                            </w:r>
                          </w:p>
                          <w:p w14:paraId="37F3603B" w14:textId="073FB6EF" w:rsidR="00532A7F" w:rsidRPr="00532A7F" w:rsidRDefault="00532A7F" w:rsidP="00F9043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noProof/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 w:rsidRPr="00532A7F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noProof/>
                                <w:color w:val="365F91" w:themeColor="accent1" w:themeShade="BF"/>
                                <w:sz w:val="18"/>
                                <w:szCs w:val="18"/>
                              </w:rPr>
                              <w:t>(10-hour practicum at the level of your teaching certificate [elementary or secondary])</w:t>
                            </w:r>
                          </w:p>
                        </w:tc>
                        <w:tc>
                          <w:tcPr>
                            <w:tcW w:w="20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F589940" w14:textId="03E9A8E0" w:rsidR="00532A7F" w:rsidRPr="00F9043F" w:rsidRDefault="00532A7F" w:rsidP="00882F3C">
                            <w:pPr>
                              <w:jc w:val="center"/>
                              <w:rPr>
                                <w:rFonts w:ascii="Calibri" w:hAnsi="Calibri"/>
                                <w:noProof/>
                                <w:color w:val="365F91" w:themeColor="accent1" w:themeShade="BF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  <w:color w:val="365F91" w:themeColor="accent1" w:themeShade="BF"/>
                                <w:szCs w:val="16"/>
                              </w:rPr>
                              <w:t>Spring 2024</w:t>
                            </w:r>
                          </w:p>
                        </w:tc>
                      </w:tr>
                      <w:tr w:rsidR="00532A7F" w:rsidRPr="007611CD" w14:paraId="5236B6B0" w14:textId="77777777" w:rsidTr="009D3F39">
                        <w:trPr>
                          <w:gridAfter w:val="1"/>
                          <w:wAfter w:w="81" w:type="dxa"/>
                          <w:trHeight w:val="463"/>
                          <w:jc w:val="center"/>
                        </w:trPr>
                        <w:tc>
                          <w:tcPr>
                            <w:tcW w:w="75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6EE2C2A" w14:textId="60F8C0BD" w:rsidR="00532A7F" w:rsidRPr="00A86668" w:rsidRDefault="00532A7F" w:rsidP="00F9043F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noProof/>
                                <w:color w:val="365F91" w:themeColor="accent1" w:themeShade="BF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noProof/>
                                <w:color w:val="365F91" w:themeColor="accent1" w:themeShade="BF"/>
                                <w:szCs w:val="16"/>
                              </w:rPr>
                              <w:t>TESL 205: Teaching Reading and Writing to English Learners</w:t>
                            </w:r>
                          </w:p>
                        </w:tc>
                        <w:tc>
                          <w:tcPr>
                            <w:tcW w:w="20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B7CEA57" w14:textId="130E7E96" w:rsidR="00532A7F" w:rsidRPr="00F9043F" w:rsidRDefault="00532A7F" w:rsidP="00882F3C">
                            <w:pPr>
                              <w:jc w:val="center"/>
                              <w:rPr>
                                <w:rFonts w:ascii="Calibri" w:hAnsi="Calibri"/>
                                <w:noProof/>
                                <w:color w:val="365F91" w:themeColor="accent1" w:themeShade="BF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  <w:color w:val="365F91" w:themeColor="accent1" w:themeShade="BF"/>
                                <w:szCs w:val="16"/>
                              </w:rPr>
                              <w:t>Fall 2024</w:t>
                            </w:r>
                          </w:p>
                        </w:tc>
                      </w:tr>
                      <w:tr w:rsidR="00532A7F" w:rsidRPr="007611CD" w14:paraId="36E701ED" w14:textId="77777777" w:rsidTr="00780B23">
                        <w:trPr>
                          <w:gridAfter w:val="1"/>
                          <w:wAfter w:w="81" w:type="dxa"/>
                          <w:trHeight w:val="463"/>
                          <w:jc w:val="center"/>
                        </w:trPr>
                        <w:tc>
                          <w:tcPr>
                            <w:tcW w:w="75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84C0060" w14:textId="11183503" w:rsidR="00532A7F" w:rsidRDefault="00532A7F" w:rsidP="00F9043F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noProof/>
                                <w:color w:val="365F91" w:themeColor="accent1" w:themeShade="BF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noProof/>
                                <w:color w:val="365F91" w:themeColor="accent1" w:themeShade="BF"/>
                                <w:szCs w:val="16"/>
                              </w:rPr>
                              <w:t>TESL 206: Methods of Linguistic Differentiation for English Learners</w:t>
                            </w:r>
                          </w:p>
                          <w:p w14:paraId="24A1AB24" w14:textId="65E445EC" w:rsidR="00532A7F" w:rsidRPr="00532A7F" w:rsidRDefault="00532A7F" w:rsidP="00F9043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noProof/>
                                <w:color w:val="365F91" w:themeColor="accent1" w:themeShade="BF"/>
                                <w:szCs w:val="16"/>
                              </w:rPr>
                            </w:pPr>
                            <w:r w:rsidRPr="00532A7F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noProof/>
                                <w:color w:val="365F91" w:themeColor="accent1" w:themeShade="BF"/>
                                <w:sz w:val="18"/>
                                <w:szCs w:val="10"/>
                              </w:rPr>
                              <w:t>(10-hour practicum at the level opposite your teaching certificate [elementary or secondary])</w:t>
                            </w:r>
                          </w:p>
                        </w:tc>
                        <w:tc>
                          <w:tcPr>
                            <w:tcW w:w="20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4A98884" w14:textId="5DDA0290" w:rsidR="00532A7F" w:rsidRPr="00F9043F" w:rsidRDefault="00532A7F" w:rsidP="00882F3C">
                            <w:pPr>
                              <w:jc w:val="center"/>
                              <w:rPr>
                                <w:rFonts w:ascii="Calibri" w:hAnsi="Calibri"/>
                                <w:noProof/>
                                <w:color w:val="365F91" w:themeColor="accent1" w:themeShade="BF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  <w:color w:val="365F91" w:themeColor="accent1" w:themeShade="BF"/>
                                <w:szCs w:val="16"/>
                              </w:rPr>
                              <w:t>Spring 2024</w:t>
                            </w:r>
                          </w:p>
                        </w:tc>
                      </w:tr>
                      <w:tr w:rsidR="00341F6E" w:rsidRPr="00A04052" w14:paraId="0E09ADBF" w14:textId="77777777" w:rsidTr="00E416FE">
                        <w:trPr>
                          <w:trHeight w:val="192"/>
                          <w:jc w:val="center"/>
                        </w:trPr>
                        <w:tc>
                          <w:tcPr>
                            <w:tcW w:w="9690" w:type="dxa"/>
                            <w:gridSpan w:val="3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5741AFFF" w14:textId="77777777" w:rsidR="00341F6E" w:rsidRPr="00CB0CD1" w:rsidRDefault="00341F6E" w:rsidP="00532A7F">
                            <w:pPr>
                              <w:rPr>
                                <w:rFonts w:ascii="Calibri" w:hAnsi="Calibri"/>
                                <w:b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41F6E" w:rsidRPr="00A04052" w14:paraId="56CBA4AF" w14:textId="77777777" w:rsidTr="00882F3C">
                        <w:trPr>
                          <w:jc w:val="center"/>
                        </w:trPr>
                        <w:tc>
                          <w:tcPr>
                            <w:tcW w:w="9690" w:type="dxa"/>
                            <w:gridSpan w:val="3"/>
                            <w:shd w:val="clear" w:color="auto" w:fill="EBB517"/>
                          </w:tcPr>
                          <w:p w14:paraId="5FA0DEA4" w14:textId="77777777" w:rsidR="00E416FE" w:rsidRDefault="00341F6E" w:rsidP="0055249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noProof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E416FE">
                              <w:rPr>
                                <w:rFonts w:ascii="Calibri" w:hAnsi="Calibri"/>
                                <w:b/>
                                <w:noProof/>
                                <w:color w:val="FFFFFF" w:themeColor="background1"/>
                                <w:sz w:val="28"/>
                                <w:szCs w:val="32"/>
                              </w:rPr>
                              <w:t xml:space="preserve">For more information, contact Dr. Shelley Fairbairn </w:t>
                            </w:r>
                          </w:p>
                          <w:p w14:paraId="245B1F47" w14:textId="398A23D4" w:rsidR="00341F6E" w:rsidRPr="00E416FE" w:rsidRDefault="00341F6E" w:rsidP="0055249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noProof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E416FE">
                              <w:rPr>
                                <w:rFonts w:ascii="Calibri" w:hAnsi="Calibri"/>
                                <w:b/>
                                <w:noProof/>
                                <w:color w:val="FFFFFF" w:themeColor="background1"/>
                                <w:sz w:val="28"/>
                                <w:szCs w:val="32"/>
                              </w:rPr>
                              <w:t>shelley.fairbairn@drake.edu</w:t>
                            </w:r>
                          </w:p>
                        </w:tc>
                      </w:tr>
                    </w:tbl>
                    <w:p w14:paraId="5D79A8C3" w14:textId="30EFC784" w:rsidR="00341F6E" w:rsidRPr="00590AFD" w:rsidRDefault="00341F6E" w:rsidP="00590AFD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54D86">
        <w:rPr>
          <w:noProof/>
        </w:rPr>
        <w:drawing>
          <wp:anchor distT="0" distB="0" distL="114300" distR="114300" simplePos="0" relativeHeight="251658240" behindDoc="0" locked="0" layoutInCell="1" allowOverlap="1" wp14:anchorId="37509BCF" wp14:editId="2A762F63">
            <wp:simplePos x="0" y="0"/>
            <wp:positionH relativeFrom="margin">
              <wp:posOffset>-1143000</wp:posOffset>
            </wp:positionH>
            <wp:positionV relativeFrom="margin">
              <wp:posOffset>-914400</wp:posOffset>
            </wp:positionV>
            <wp:extent cx="7772400" cy="100571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 Template_Law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85DDC" w:rsidSect="006123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FD"/>
    <w:rsid w:val="00151D4F"/>
    <w:rsid w:val="0018255A"/>
    <w:rsid w:val="00202A8E"/>
    <w:rsid w:val="00341F6E"/>
    <w:rsid w:val="003A47EA"/>
    <w:rsid w:val="00424A85"/>
    <w:rsid w:val="004B6AC0"/>
    <w:rsid w:val="004D63D6"/>
    <w:rsid w:val="00532A7F"/>
    <w:rsid w:val="00590AFD"/>
    <w:rsid w:val="005A0AFD"/>
    <w:rsid w:val="005C3102"/>
    <w:rsid w:val="006123D1"/>
    <w:rsid w:val="0074281E"/>
    <w:rsid w:val="007E32AF"/>
    <w:rsid w:val="00860FEE"/>
    <w:rsid w:val="0088023D"/>
    <w:rsid w:val="00882F3C"/>
    <w:rsid w:val="008B25C4"/>
    <w:rsid w:val="008C0AEF"/>
    <w:rsid w:val="008D652E"/>
    <w:rsid w:val="008F3006"/>
    <w:rsid w:val="009417CE"/>
    <w:rsid w:val="00982783"/>
    <w:rsid w:val="009C4B6C"/>
    <w:rsid w:val="00A04052"/>
    <w:rsid w:val="00A86668"/>
    <w:rsid w:val="00B32728"/>
    <w:rsid w:val="00BA73CA"/>
    <w:rsid w:val="00BC26A2"/>
    <w:rsid w:val="00C9481F"/>
    <w:rsid w:val="00C959EA"/>
    <w:rsid w:val="00CB0CD1"/>
    <w:rsid w:val="00CC150E"/>
    <w:rsid w:val="00CD01EF"/>
    <w:rsid w:val="00D51A8A"/>
    <w:rsid w:val="00D67885"/>
    <w:rsid w:val="00D91A0B"/>
    <w:rsid w:val="00E22D4D"/>
    <w:rsid w:val="00E416FE"/>
    <w:rsid w:val="00E74254"/>
    <w:rsid w:val="00F54D86"/>
    <w:rsid w:val="00F85DDC"/>
    <w:rsid w:val="00F9043F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42046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A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AF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60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Workiva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Deubner</dc:creator>
  <cp:keywords/>
  <dc:description/>
  <cp:lastModifiedBy>Shelley Fairbairn</cp:lastModifiedBy>
  <cp:revision>4</cp:revision>
  <dcterms:created xsi:type="dcterms:W3CDTF">2022-03-09T15:48:00Z</dcterms:created>
  <dcterms:modified xsi:type="dcterms:W3CDTF">2022-03-09T18:37:00Z</dcterms:modified>
</cp:coreProperties>
</file>